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AC9" w:rsidRPr="00D27AC9" w:rsidRDefault="00D27AC9" w:rsidP="00D27AC9">
      <w:pPr>
        <w:spacing w:after="150"/>
        <w:jc w:val="both"/>
        <w:outlineLvl w:val="0"/>
        <w:rPr>
          <w:rFonts w:ascii="Helvetica" w:eastAsia="Times New Roman" w:hAnsi="Helvetica" w:cs="Helvetica"/>
          <w:b/>
          <w:bCs/>
          <w:color w:val="333333"/>
          <w:kern w:val="36"/>
          <w:sz w:val="32"/>
          <w:szCs w:val="32"/>
        </w:rPr>
      </w:pPr>
      <w:r w:rsidRPr="00D27AC9">
        <w:rPr>
          <w:rFonts w:ascii="Helvetica" w:eastAsia="Times New Roman" w:hAnsi="Helvetica" w:cs="Helvetica"/>
          <w:b/>
          <w:bCs/>
          <w:color w:val="FF0000"/>
          <w:kern w:val="36"/>
          <w:sz w:val="32"/>
          <w:szCs w:val="32"/>
        </w:rPr>
        <w:t>Ngân hàng cung cấp thông tin tài khoản khách hàng định kỳ cho cơ quan thuế</w:t>
      </w:r>
    </w:p>
    <w:p w:rsidR="00D27AC9" w:rsidRDefault="00D27AC9" w:rsidP="00D27AC9">
      <w:pPr>
        <w:spacing w:after="150"/>
        <w:jc w:val="both"/>
        <w:outlineLvl w:val="0"/>
        <w:rPr>
          <w:rFonts w:ascii="inherit" w:eastAsia="Times New Roman" w:hAnsi="inherit" w:cs="Helvetica"/>
          <w:color w:val="333333"/>
          <w:sz w:val="27"/>
          <w:szCs w:val="27"/>
          <w:u w:val="single"/>
        </w:rPr>
      </w:pPr>
      <w:r w:rsidRPr="00D27AC9">
        <w:rPr>
          <w:rFonts w:ascii="inherit" w:eastAsia="Times New Roman" w:hAnsi="inherit" w:cs="Helvetica"/>
          <w:color w:val="333333"/>
          <w:sz w:val="27"/>
          <w:szCs w:val="27"/>
          <w:u w:val="single"/>
        </w:rPr>
        <w:t>Thanh Xuân</w:t>
      </w:r>
    </w:p>
    <w:p w:rsidR="00D27AC9" w:rsidRDefault="00D27AC9" w:rsidP="00D27AC9">
      <w:pPr>
        <w:spacing w:after="150"/>
        <w:jc w:val="both"/>
        <w:outlineLvl w:val="0"/>
        <w:rPr>
          <w:rFonts w:ascii="Helvetica" w:eastAsia="Times New Roman" w:hAnsi="Helvetica" w:cs="Helvetica"/>
          <w:bCs/>
          <w:color w:val="333333"/>
          <w:kern w:val="36"/>
          <w:sz w:val="16"/>
          <w:szCs w:val="16"/>
        </w:rPr>
      </w:pPr>
      <w:hyperlink r:id="rId5" w:history="1">
        <w:r w:rsidRPr="00511328">
          <w:rPr>
            <w:rStyle w:val="Hyperlink"/>
            <w:rFonts w:ascii="Helvetica" w:eastAsia="Times New Roman" w:hAnsi="Helvetica" w:cs="Helvetica"/>
            <w:bCs/>
            <w:kern w:val="36"/>
            <w:sz w:val="16"/>
            <w:szCs w:val="16"/>
          </w:rPr>
          <w:t>https://thanhnien.vn/tai-chinh-kinh-doanh/ngan-hang-cung-cap-thong-tin-tai-khoan-khach-hang-dinh-ky-cho-co-quan-thue-1307116.html</w:t>
        </w:r>
      </w:hyperlink>
    </w:p>
    <w:p w:rsidR="00D27AC9" w:rsidRPr="00D27AC9" w:rsidRDefault="00D27AC9" w:rsidP="00D27AC9">
      <w:pPr>
        <w:spacing w:after="150"/>
        <w:jc w:val="both"/>
        <w:outlineLvl w:val="0"/>
        <w:rPr>
          <w:rFonts w:ascii="Helvetica" w:eastAsia="Times New Roman" w:hAnsi="Helvetica" w:cs="Helvetica"/>
          <w:bCs/>
          <w:color w:val="333333"/>
          <w:kern w:val="36"/>
          <w:sz w:val="16"/>
          <w:szCs w:val="16"/>
        </w:rPr>
      </w:pPr>
    </w:p>
    <w:p w:rsidR="00D27AC9" w:rsidRPr="00D27AC9" w:rsidRDefault="00D27AC9" w:rsidP="00D27AC9">
      <w:pPr>
        <w:shd w:val="clear" w:color="auto" w:fill="F7F7F7"/>
        <w:spacing w:after="0"/>
        <w:jc w:val="both"/>
        <w:rPr>
          <w:rFonts w:ascii="Helvetica" w:eastAsia="Times New Roman" w:hAnsi="Helvetica" w:cs="Helvetica"/>
          <w:color w:val="888888"/>
          <w:sz w:val="18"/>
          <w:szCs w:val="18"/>
        </w:rPr>
      </w:pPr>
      <w:r w:rsidRPr="00D27AC9">
        <w:rPr>
          <w:rFonts w:ascii="Helvetica" w:eastAsia="Times New Roman" w:hAnsi="Helvetica" w:cs="Helvetica"/>
          <w:color w:val="888888"/>
          <w:sz w:val="18"/>
          <w:szCs w:val="18"/>
        </w:rPr>
        <w:t>08:25 - 22/11/2020 </w:t>
      </w:r>
      <w:hyperlink r:id="rId6" w:anchor="commentbox" w:history="1">
        <w:r w:rsidRPr="00D27AC9">
          <w:rPr>
            <w:rFonts w:ascii="Helvetica" w:eastAsia="Times New Roman" w:hAnsi="Helvetica" w:cs="Helvetica"/>
            <w:color w:val="888888"/>
            <w:sz w:val="18"/>
            <w:szCs w:val="18"/>
            <w:u w:val="single"/>
          </w:rPr>
          <w:t>34</w:t>
        </w:r>
      </w:hyperlink>
      <w:r w:rsidRPr="00D27AC9">
        <w:rPr>
          <w:rFonts w:ascii="Helvetica" w:eastAsia="Times New Roman" w:hAnsi="Helvetica" w:cs="Helvetica"/>
          <w:color w:val="888888"/>
          <w:sz w:val="18"/>
          <w:szCs w:val="18"/>
        </w:rPr>
        <w:t> </w:t>
      </w:r>
      <w:r w:rsidRPr="00D27AC9">
        <w:rPr>
          <w:rFonts w:ascii="Helvetica" w:eastAsia="Times New Roman" w:hAnsi="Helvetica" w:cs="Helvetica"/>
          <w:caps/>
          <w:color w:val="888888"/>
          <w:sz w:val="18"/>
          <w:szCs w:val="18"/>
        </w:rPr>
        <w:t>THANH NIÊN ONLINE</w:t>
      </w:r>
    </w:p>
    <w:p w:rsidR="00D27AC9" w:rsidRDefault="00D27AC9" w:rsidP="00D27AC9">
      <w:pPr>
        <w:spacing w:line="420" w:lineRule="atLeast"/>
        <w:jc w:val="both"/>
        <w:rPr>
          <w:rFonts w:ascii="Helvetica" w:eastAsia="Times New Roman" w:hAnsi="Helvetica" w:cs="Helvetica"/>
          <w:color w:val="3333FF"/>
          <w:szCs w:val="24"/>
        </w:rPr>
      </w:pPr>
      <w:r w:rsidRPr="00D27AC9">
        <w:rPr>
          <w:rFonts w:ascii="Helvetica" w:eastAsia="Times New Roman" w:hAnsi="Helvetica" w:cs="Helvetica"/>
          <w:color w:val="3333FF"/>
          <w:szCs w:val="24"/>
        </w:rPr>
        <w:t>Đây là một trong những nội dung của Nghị định 126/2020 hướng dẫn Luật Quản lý thuế có hiệu lực kể từ ngày 5.12.</w:t>
      </w:r>
      <w:r w:rsidR="00BF33F6">
        <w:rPr>
          <w:rFonts w:ascii="Helvetica" w:eastAsia="Times New Roman" w:hAnsi="Helvetica" w:cs="Helvetica"/>
          <w:color w:val="3333FF"/>
          <w:szCs w:val="24"/>
        </w:rPr>
        <w:t>2020</w:t>
      </w:r>
      <w:bookmarkStart w:id="0" w:name="_GoBack"/>
      <w:bookmarkEnd w:id="0"/>
    </w:p>
    <w:p w:rsidR="00D27AC9" w:rsidRDefault="00D27AC9" w:rsidP="00D27AC9">
      <w:pPr>
        <w:spacing w:line="420" w:lineRule="atLeast"/>
        <w:jc w:val="both"/>
        <w:rPr>
          <w:rFonts w:ascii="Georgia" w:eastAsia="Times New Roman" w:hAnsi="Georgia" w:cs="Helvetica"/>
          <w:b/>
          <w:bCs/>
          <w:color w:val="111111"/>
          <w:sz w:val="28"/>
          <w:szCs w:val="28"/>
        </w:rPr>
      </w:pPr>
      <w:r w:rsidRPr="00D27AC9">
        <w:rPr>
          <w:rFonts w:ascii="Georgia" w:eastAsia="Times New Roman" w:hAnsi="Georgia" w:cs="Helvetica"/>
          <w:b/>
          <w:bCs/>
          <w:color w:val="111111"/>
          <w:sz w:val="28"/>
          <w:szCs w:val="28"/>
        </w:rPr>
        <w:t>Cung c</w:t>
      </w:r>
      <w:r w:rsidRPr="00D27AC9">
        <w:rPr>
          <w:rFonts w:ascii="Cambria" w:eastAsia="Times New Roman" w:hAnsi="Cambria" w:cs="Cambria"/>
          <w:b/>
          <w:bCs/>
          <w:color w:val="111111"/>
          <w:sz w:val="28"/>
          <w:szCs w:val="28"/>
        </w:rPr>
        <w:t>ấ</w:t>
      </w:r>
      <w:r w:rsidRPr="00D27AC9">
        <w:rPr>
          <w:rFonts w:ascii="Georgia" w:eastAsia="Times New Roman" w:hAnsi="Georgia" w:cs="Helvetica"/>
          <w:b/>
          <w:bCs/>
          <w:color w:val="111111"/>
          <w:sz w:val="28"/>
          <w:szCs w:val="28"/>
        </w:rPr>
        <w:t>p th</w:t>
      </w:r>
      <w:r w:rsidRPr="00D27AC9">
        <w:rPr>
          <w:rFonts w:ascii="Georgia" w:eastAsia="Times New Roman" w:hAnsi="Georgia" w:cs="Georgia"/>
          <w:b/>
          <w:bCs/>
          <w:color w:val="111111"/>
          <w:sz w:val="28"/>
          <w:szCs w:val="28"/>
        </w:rPr>
        <w:t>ô</w:t>
      </w:r>
      <w:r w:rsidRPr="00D27AC9">
        <w:rPr>
          <w:rFonts w:ascii="Georgia" w:eastAsia="Times New Roman" w:hAnsi="Georgia" w:cs="Helvetica"/>
          <w:b/>
          <w:bCs/>
          <w:color w:val="111111"/>
          <w:sz w:val="28"/>
          <w:szCs w:val="28"/>
        </w:rPr>
        <w:t xml:space="preserve">ng tin </w:t>
      </w:r>
      <w:r w:rsidRPr="00D27AC9">
        <w:rPr>
          <w:rFonts w:ascii="Georgia" w:eastAsia="Times New Roman" w:hAnsi="Georgia" w:cs="Georgia"/>
          <w:b/>
          <w:bCs/>
          <w:color w:val="111111"/>
          <w:sz w:val="28"/>
          <w:szCs w:val="28"/>
        </w:rPr>
        <w:t>đ</w:t>
      </w:r>
      <w:r w:rsidRPr="00D27AC9">
        <w:rPr>
          <w:rFonts w:ascii="Cambria" w:eastAsia="Times New Roman" w:hAnsi="Cambria" w:cs="Cambria"/>
          <w:b/>
          <w:bCs/>
          <w:color w:val="111111"/>
          <w:sz w:val="28"/>
          <w:szCs w:val="28"/>
        </w:rPr>
        <w:t>ị</w:t>
      </w:r>
      <w:r w:rsidRPr="00D27AC9">
        <w:rPr>
          <w:rFonts w:ascii="Georgia" w:eastAsia="Times New Roman" w:hAnsi="Georgia" w:cs="Helvetica"/>
          <w:b/>
          <w:bCs/>
          <w:color w:val="111111"/>
          <w:sz w:val="28"/>
          <w:szCs w:val="28"/>
        </w:rPr>
        <w:t>nh k</w:t>
      </w:r>
      <w:r w:rsidRPr="00D27AC9">
        <w:rPr>
          <w:rFonts w:ascii="Georgia" w:eastAsia="Times New Roman" w:hAnsi="Georgia" w:cs="Georgia"/>
          <w:b/>
          <w:bCs/>
          <w:color w:val="111111"/>
          <w:sz w:val="28"/>
          <w:szCs w:val="28"/>
        </w:rPr>
        <w:t>ỳ</w:t>
      </w:r>
      <w:r w:rsidRPr="00D27AC9">
        <w:rPr>
          <w:rFonts w:ascii="Georgia" w:eastAsia="Times New Roman" w:hAnsi="Georgia" w:cs="Helvetica"/>
          <w:b/>
          <w:bCs/>
          <w:color w:val="111111"/>
          <w:sz w:val="28"/>
          <w:szCs w:val="28"/>
        </w:rPr>
        <w:t xml:space="preserve"> h</w:t>
      </w:r>
      <w:r w:rsidRPr="00D27AC9">
        <w:rPr>
          <w:rFonts w:ascii="Georgia" w:eastAsia="Times New Roman" w:hAnsi="Georgia" w:cs="Georgia"/>
          <w:b/>
          <w:bCs/>
          <w:color w:val="111111"/>
          <w:sz w:val="28"/>
          <w:szCs w:val="28"/>
        </w:rPr>
        <w:t>à</w:t>
      </w:r>
      <w:r w:rsidRPr="00D27AC9">
        <w:rPr>
          <w:rFonts w:ascii="Georgia" w:eastAsia="Times New Roman" w:hAnsi="Georgia" w:cs="Helvetica"/>
          <w:b/>
          <w:bCs/>
          <w:color w:val="111111"/>
          <w:sz w:val="28"/>
          <w:szCs w:val="28"/>
        </w:rPr>
        <w:t>ng th</w:t>
      </w:r>
      <w:r w:rsidRPr="00D27AC9">
        <w:rPr>
          <w:rFonts w:ascii="Georgia" w:eastAsia="Times New Roman" w:hAnsi="Georgia" w:cs="Georgia"/>
          <w:b/>
          <w:bCs/>
          <w:color w:val="111111"/>
          <w:sz w:val="28"/>
          <w:szCs w:val="28"/>
        </w:rPr>
        <w:t>á</w:t>
      </w:r>
      <w:r w:rsidRPr="00D27AC9">
        <w:rPr>
          <w:rFonts w:ascii="Georgia" w:eastAsia="Times New Roman" w:hAnsi="Georgia" w:cs="Helvetica"/>
          <w:b/>
          <w:bCs/>
          <w:color w:val="111111"/>
          <w:sz w:val="28"/>
          <w:szCs w:val="28"/>
        </w:rPr>
        <w:t>ng</w:t>
      </w:r>
    </w:p>
    <w:p w:rsidR="00D27AC9" w:rsidRPr="00D27AC9" w:rsidRDefault="00D27AC9" w:rsidP="00D27AC9">
      <w:pPr>
        <w:spacing w:line="420" w:lineRule="atLeast"/>
        <w:jc w:val="both"/>
        <w:rPr>
          <w:rFonts w:ascii="Helvetica" w:eastAsia="Times New Roman" w:hAnsi="Helvetica" w:cs="Helvetica"/>
          <w:color w:val="3333FF"/>
          <w:szCs w:val="24"/>
        </w:rPr>
      </w:pPr>
    </w:p>
    <w:p w:rsidR="00D27AC9" w:rsidRDefault="00D27AC9" w:rsidP="00D27AC9">
      <w:pPr>
        <w:jc w:val="both"/>
        <w:rPr>
          <w:rFonts w:ascii="Helvetica" w:eastAsia="Times New Roman" w:hAnsi="Helvetica" w:cs="Helvetica"/>
          <w:color w:val="111111"/>
          <w:sz w:val="21"/>
          <w:szCs w:val="21"/>
        </w:rPr>
      </w:pPr>
      <w:r w:rsidRPr="00D27AC9">
        <w:rPr>
          <w:rFonts w:ascii="Helvetica" w:eastAsia="Times New Roman" w:hAnsi="Helvetica" w:cs="Helvetica"/>
          <w:color w:val="111111"/>
          <w:sz w:val="21"/>
          <w:szCs w:val="21"/>
        </w:rPr>
        <w:t>Theo đó, ngân hàng thương mại có trách nhiệm cung cấp các thông tin về tài khoản thanh toán của </w:t>
      </w:r>
      <w:hyperlink r:id="rId7" w:tgtFrame="_blank" w:history="1">
        <w:r w:rsidRPr="00D27AC9">
          <w:rPr>
            <w:rFonts w:ascii="Helvetica" w:eastAsia="Times New Roman" w:hAnsi="Helvetica" w:cs="Helvetica"/>
            <w:color w:val="00739F"/>
            <w:sz w:val="21"/>
            <w:szCs w:val="21"/>
            <w:u w:val="single"/>
          </w:rPr>
          <w:t>người nộp thuế</w:t>
        </w:r>
      </w:hyperlink>
      <w:r w:rsidRPr="00D27AC9">
        <w:rPr>
          <w:rFonts w:ascii="Helvetica" w:eastAsia="Times New Roman" w:hAnsi="Helvetica" w:cs="Helvetica"/>
          <w:color w:val="111111"/>
          <w:sz w:val="21"/>
          <w:szCs w:val="21"/>
        </w:rPr>
        <w:t xml:space="preserve"> mở tại ngân hàng cho cơ quan quản lý thuế. </w:t>
      </w:r>
    </w:p>
    <w:p w:rsidR="00D27AC9" w:rsidRDefault="00D27AC9" w:rsidP="00D27AC9">
      <w:pPr>
        <w:jc w:val="both"/>
        <w:rPr>
          <w:rFonts w:ascii="Helvetica" w:eastAsia="Times New Roman" w:hAnsi="Helvetica" w:cs="Helvetica"/>
          <w:color w:val="111111"/>
          <w:sz w:val="21"/>
          <w:szCs w:val="21"/>
        </w:rPr>
      </w:pPr>
    </w:p>
    <w:p w:rsidR="00D27AC9" w:rsidRDefault="00D27AC9" w:rsidP="00D27AC9">
      <w:pPr>
        <w:jc w:val="both"/>
        <w:rPr>
          <w:rFonts w:ascii="Helvetica" w:eastAsia="Times New Roman" w:hAnsi="Helvetica" w:cs="Helvetica"/>
          <w:color w:val="111111"/>
          <w:sz w:val="21"/>
          <w:szCs w:val="21"/>
        </w:rPr>
      </w:pPr>
      <w:r w:rsidRPr="00D27AC9">
        <w:rPr>
          <w:rFonts w:ascii="Helvetica" w:eastAsia="Times New Roman" w:hAnsi="Helvetica" w:cs="Helvetica"/>
          <w:color w:val="111111"/>
          <w:sz w:val="21"/>
          <w:szCs w:val="21"/>
        </w:rPr>
        <w:t xml:space="preserve">Cụ thể, theo đề nghị của cơ quan quản lý thuế, ngân hàng thương mại cung cấp thông tin tài khoản thanh toán của từng người nộp thuế bao gồm </w:t>
      </w:r>
      <w:r w:rsidRPr="00D27AC9">
        <w:rPr>
          <w:rFonts w:ascii="Helvetica" w:eastAsia="Times New Roman" w:hAnsi="Helvetica" w:cs="Helvetica"/>
          <w:color w:val="FF0000"/>
          <w:sz w:val="21"/>
          <w:szCs w:val="21"/>
          <w:u w:val="single"/>
        </w:rPr>
        <w:t>tên chủ tài khoản, số hiệu tài khoản theo mã số thuế đã được cơ quan quản lý thuế cấp, ngày mở tài khoản, ngày đóng tài khoản</w:t>
      </w:r>
      <w:r w:rsidRPr="00D27AC9">
        <w:rPr>
          <w:rFonts w:ascii="Helvetica" w:eastAsia="Times New Roman" w:hAnsi="Helvetica" w:cs="Helvetica"/>
          <w:color w:val="111111"/>
          <w:sz w:val="21"/>
          <w:szCs w:val="21"/>
        </w:rPr>
        <w:t xml:space="preserve">. Việc cung cấp thông tin về tài khoản được thực hiện </w:t>
      </w:r>
      <w:r w:rsidRPr="00D27AC9">
        <w:rPr>
          <w:rFonts w:ascii="Helvetica" w:eastAsia="Times New Roman" w:hAnsi="Helvetica" w:cs="Helvetica"/>
          <w:color w:val="111111"/>
          <w:sz w:val="21"/>
          <w:szCs w:val="21"/>
          <w:highlight w:val="yellow"/>
        </w:rPr>
        <w:t>lần đầu trong thời gian 90 ngày</w:t>
      </w:r>
      <w:r w:rsidRPr="00D27AC9">
        <w:rPr>
          <w:rFonts w:ascii="Helvetica" w:eastAsia="Times New Roman" w:hAnsi="Helvetica" w:cs="Helvetica"/>
          <w:color w:val="111111"/>
          <w:sz w:val="21"/>
          <w:szCs w:val="21"/>
        </w:rPr>
        <w:t xml:space="preserve"> kể từ ngày Nghị định này có hiệu lực thi hành. Việc </w:t>
      </w:r>
      <w:r w:rsidRPr="00D27AC9">
        <w:rPr>
          <w:rFonts w:ascii="Helvetica" w:eastAsia="Times New Roman" w:hAnsi="Helvetica" w:cs="Helvetica"/>
          <w:color w:val="111111"/>
          <w:sz w:val="21"/>
          <w:szCs w:val="21"/>
          <w:highlight w:val="yellow"/>
        </w:rPr>
        <w:t>cập nhật các thông tin</w:t>
      </w:r>
      <w:r w:rsidRPr="00D27AC9">
        <w:rPr>
          <w:rFonts w:ascii="Helvetica" w:eastAsia="Times New Roman" w:hAnsi="Helvetica" w:cs="Helvetica"/>
          <w:color w:val="111111"/>
          <w:sz w:val="21"/>
          <w:szCs w:val="21"/>
        </w:rPr>
        <w:t xml:space="preserve"> về tài khoản được </w:t>
      </w:r>
      <w:r w:rsidRPr="00D27AC9">
        <w:rPr>
          <w:rFonts w:ascii="Helvetica" w:eastAsia="Times New Roman" w:hAnsi="Helvetica" w:cs="Helvetica"/>
          <w:color w:val="111111"/>
          <w:sz w:val="21"/>
          <w:szCs w:val="21"/>
          <w:highlight w:val="yellow"/>
        </w:rPr>
        <w:t>thực hiện hàng tháng trong 10 ngày của tháng</w:t>
      </w:r>
      <w:r w:rsidRPr="00D27AC9">
        <w:rPr>
          <w:rFonts w:ascii="Helvetica" w:eastAsia="Times New Roman" w:hAnsi="Helvetica" w:cs="Helvetica"/>
          <w:color w:val="111111"/>
          <w:sz w:val="21"/>
          <w:szCs w:val="21"/>
        </w:rPr>
        <w:t xml:space="preserve"> kế tiếp. Phương thức cung cấp thông tin được thực hiện dưới hình thức điện tử.</w:t>
      </w:r>
    </w:p>
    <w:p w:rsidR="00D27AC9" w:rsidRPr="00D27AC9" w:rsidRDefault="00D27AC9" w:rsidP="00D27AC9">
      <w:pPr>
        <w:jc w:val="both"/>
        <w:rPr>
          <w:rFonts w:ascii="Helvetica" w:eastAsia="Times New Roman" w:hAnsi="Helvetica" w:cs="Helvetica"/>
          <w:color w:val="111111"/>
          <w:sz w:val="21"/>
          <w:szCs w:val="21"/>
        </w:rPr>
      </w:pPr>
    </w:p>
    <w:p w:rsidR="00D27AC9" w:rsidRPr="00D27AC9" w:rsidRDefault="00D27AC9" w:rsidP="00D27AC9">
      <w:pPr>
        <w:jc w:val="both"/>
        <w:rPr>
          <w:rFonts w:ascii="Helvetica" w:eastAsia="Times New Roman" w:hAnsi="Helvetica" w:cs="Helvetica"/>
          <w:color w:val="111111"/>
          <w:sz w:val="21"/>
          <w:szCs w:val="21"/>
        </w:rPr>
      </w:pPr>
      <w:r w:rsidRPr="00D27AC9">
        <w:rPr>
          <w:rFonts w:ascii="Helvetica" w:eastAsia="Times New Roman" w:hAnsi="Helvetica" w:cs="Helvetica"/>
          <w:color w:val="111111"/>
          <w:sz w:val="21"/>
          <w:szCs w:val="21"/>
        </w:rPr>
        <w:t>Ngân hàng thương mại cung cấp thông tin giao dịch qua tài khoản, số dư tài khoản, số liệu giao dịch theo đề nghị của Thủ trưởng cơ quan quản lý thuế để phục vụ cho mục đích thanh tra, kiểm tra xác định nghĩa vụ thuế phải nộp và thực hiện các biện pháp cưỡng chế thi hành quyết định hành chính về quản lý thuế theo quy định của pháp luật về thuế. Cơ quan quản lý thuế có trách nhiệm </w:t>
      </w:r>
      <w:hyperlink r:id="rId8" w:history="1">
        <w:r w:rsidRPr="00D27AC9">
          <w:rPr>
            <w:rFonts w:ascii="Helvetica" w:eastAsia="Times New Roman" w:hAnsi="Helvetica" w:cs="Helvetica"/>
            <w:color w:val="00739F"/>
            <w:sz w:val="21"/>
            <w:szCs w:val="21"/>
            <w:u w:val="single"/>
          </w:rPr>
          <w:t>bảo mật thông tin</w:t>
        </w:r>
      </w:hyperlink>
      <w:r w:rsidRPr="00D27AC9">
        <w:rPr>
          <w:rFonts w:ascii="Helvetica" w:eastAsia="Times New Roman" w:hAnsi="Helvetica" w:cs="Helvetica"/>
          <w:color w:val="111111"/>
          <w:sz w:val="21"/>
          <w:szCs w:val="21"/>
        </w:rPr>
        <w:t> và hoàn toàn chịu trách nhiệm về sự an toàn của thông tin theo quy định của Luật Quản lý thuế và quy định của pháp luật có liên quan.</w:t>
      </w:r>
    </w:p>
    <w:p w:rsidR="00D27AC9" w:rsidRPr="00D27AC9" w:rsidRDefault="00D27AC9" w:rsidP="00D27AC9">
      <w:pPr>
        <w:spacing w:before="375" w:after="375"/>
        <w:jc w:val="both"/>
        <w:outlineLvl w:val="1"/>
        <w:rPr>
          <w:rFonts w:ascii="Georgia" w:eastAsia="Times New Roman" w:hAnsi="Georgia" w:cs="Helvetica"/>
          <w:b/>
          <w:bCs/>
          <w:color w:val="111111"/>
          <w:sz w:val="28"/>
          <w:szCs w:val="28"/>
        </w:rPr>
      </w:pPr>
      <w:r w:rsidRPr="00D27AC9">
        <w:rPr>
          <w:rFonts w:ascii="Georgia" w:eastAsia="Times New Roman" w:hAnsi="Georgia" w:cs="Helvetica"/>
          <w:b/>
          <w:bCs/>
          <w:color w:val="111111"/>
          <w:sz w:val="28"/>
          <w:szCs w:val="28"/>
        </w:rPr>
        <w:t>Ngân hàng kh</w:t>
      </w:r>
      <w:r w:rsidRPr="00D27AC9">
        <w:rPr>
          <w:rFonts w:ascii="Cambria" w:eastAsia="Times New Roman" w:hAnsi="Cambria" w:cs="Cambria"/>
          <w:b/>
          <w:bCs/>
          <w:color w:val="111111"/>
          <w:sz w:val="28"/>
          <w:szCs w:val="28"/>
        </w:rPr>
        <w:t>ấ</w:t>
      </w:r>
      <w:r w:rsidRPr="00D27AC9">
        <w:rPr>
          <w:rFonts w:ascii="Georgia" w:eastAsia="Times New Roman" w:hAnsi="Georgia" w:cs="Helvetica"/>
          <w:b/>
          <w:bCs/>
          <w:color w:val="111111"/>
          <w:sz w:val="28"/>
          <w:szCs w:val="28"/>
        </w:rPr>
        <w:t>u tr</w:t>
      </w:r>
      <w:r w:rsidRPr="00D27AC9">
        <w:rPr>
          <w:rFonts w:ascii="Cambria" w:eastAsia="Times New Roman" w:hAnsi="Cambria" w:cs="Cambria"/>
          <w:b/>
          <w:bCs/>
          <w:color w:val="111111"/>
          <w:sz w:val="28"/>
          <w:szCs w:val="28"/>
        </w:rPr>
        <w:t>ừ</w:t>
      </w:r>
      <w:r w:rsidRPr="00D27AC9">
        <w:rPr>
          <w:rFonts w:ascii="Georgia" w:eastAsia="Times New Roman" w:hAnsi="Georgia" w:cs="Helvetica"/>
          <w:b/>
          <w:bCs/>
          <w:color w:val="111111"/>
          <w:sz w:val="28"/>
          <w:szCs w:val="28"/>
        </w:rPr>
        <w:t>, n</w:t>
      </w:r>
      <w:r w:rsidRPr="00D27AC9">
        <w:rPr>
          <w:rFonts w:ascii="Cambria" w:eastAsia="Times New Roman" w:hAnsi="Cambria" w:cs="Cambria"/>
          <w:b/>
          <w:bCs/>
          <w:color w:val="111111"/>
          <w:sz w:val="28"/>
          <w:szCs w:val="28"/>
        </w:rPr>
        <w:t>ộ</w:t>
      </w:r>
      <w:r w:rsidRPr="00D27AC9">
        <w:rPr>
          <w:rFonts w:ascii="Georgia" w:eastAsia="Times New Roman" w:hAnsi="Georgia" w:cs="Helvetica"/>
          <w:b/>
          <w:bCs/>
          <w:color w:val="111111"/>
          <w:sz w:val="28"/>
          <w:szCs w:val="28"/>
        </w:rPr>
        <w:t>p thay thu</w:t>
      </w:r>
      <w:r w:rsidRPr="00D27AC9">
        <w:rPr>
          <w:rFonts w:ascii="Cambria" w:eastAsia="Times New Roman" w:hAnsi="Cambria" w:cs="Cambria"/>
          <w:b/>
          <w:bCs/>
          <w:color w:val="111111"/>
          <w:sz w:val="28"/>
          <w:szCs w:val="28"/>
        </w:rPr>
        <w:t>ế</w:t>
      </w:r>
    </w:p>
    <w:p w:rsidR="00D27AC9" w:rsidRDefault="00D27AC9" w:rsidP="00D27AC9">
      <w:pPr>
        <w:jc w:val="both"/>
        <w:rPr>
          <w:rFonts w:ascii="Helvetica" w:eastAsia="Times New Roman" w:hAnsi="Helvetica" w:cs="Helvetica"/>
          <w:color w:val="111111"/>
          <w:sz w:val="21"/>
          <w:szCs w:val="21"/>
        </w:rPr>
      </w:pPr>
      <w:r w:rsidRPr="00D27AC9">
        <w:rPr>
          <w:rFonts w:ascii="Helvetica" w:eastAsia="Times New Roman" w:hAnsi="Helvetica" w:cs="Helvetica"/>
          <w:color w:val="111111"/>
          <w:sz w:val="21"/>
          <w:szCs w:val="21"/>
        </w:rPr>
        <w:t>Ngoài ra, Nghị định 126 còn quy định ngân hàng thương mại thực hiện khấu trừ, nộp thay nghĩa vụ thuế phải nộp của nhà cung cấp ở nước ngoài không có cơ sở thường trú tại Việt Nam có hoạt động </w:t>
      </w:r>
      <w:hyperlink r:id="rId9" w:history="1">
        <w:r w:rsidRPr="00D27AC9">
          <w:rPr>
            <w:rFonts w:ascii="Helvetica" w:eastAsia="Times New Roman" w:hAnsi="Helvetica" w:cs="Helvetica"/>
            <w:color w:val="00739F"/>
            <w:sz w:val="21"/>
            <w:szCs w:val="21"/>
            <w:u w:val="single"/>
          </w:rPr>
          <w:t>kinh doanh</w:t>
        </w:r>
      </w:hyperlink>
      <w:r w:rsidRPr="00D27AC9">
        <w:rPr>
          <w:rFonts w:ascii="Helvetica" w:eastAsia="Times New Roman" w:hAnsi="Helvetica" w:cs="Helvetica"/>
          <w:color w:val="111111"/>
          <w:sz w:val="21"/>
          <w:szCs w:val="21"/>
        </w:rPr>
        <w:t xml:space="preserve"> thương mại điện tử, kinh doanh dựa trên nền tảng số với tổ chức, cá nhân ở Việt Nam (sau đây gọi là nhà cung cấp ở nước ngoài) theo quy định tại khoản 3 Điều 27 Luật Quản lý thuế. </w:t>
      </w:r>
    </w:p>
    <w:p w:rsidR="00D27AC9" w:rsidRDefault="00D27AC9" w:rsidP="00D27AC9">
      <w:pPr>
        <w:jc w:val="both"/>
        <w:rPr>
          <w:rFonts w:ascii="Helvetica" w:eastAsia="Times New Roman" w:hAnsi="Helvetica" w:cs="Helvetica"/>
          <w:color w:val="111111"/>
          <w:sz w:val="21"/>
          <w:szCs w:val="21"/>
        </w:rPr>
      </w:pPr>
      <w:r w:rsidRPr="00D27AC9">
        <w:rPr>
          <w:rFonts w:ascii="Helvetica" w:eastAsia="Times New Roman" w:hAnsi="Helvetica" w:cs="Helvetica"/>
          <w:color w:val="111111"/>
          <w:sz w:val="21"/>
          <w:szCs w:val="21"/>
        </w:rPr>
        <w:t xml:space="preserve">Cụ thể, nhà cung cấp ở nước ngoài chưa thực hiện đăng ký, kê khai, nộp thuế thì ngân hàng thương mại, tổ chức cung ứng dịch vụ trung gian thanh toán thực hiện khấu trừ, nộp thay nghĩa vụ thuế theo quy định của pháp luật thuế đối với từng sản phẩm hàng hóa, dịch vụ mà người mua là cá nhân ở Việt Nam thanh toán cho nhà cung cấp ở nước ngoài liên quan đến hoạt động kinh doanh thương mại điện tử, kinh doanh dựa trên nền tảng số. </w:t>
      </w:r>
    </w:p>
    <w:p w:rsidR="00D27AC9" w:rsidRDefault="00D27AC9" w:rsidP="00D27AC9">
      <w:pPr>
        <w:jc w:val="both"/>
        <w:rPr>
          <w:rFonts w:ascii="Helvetica" w:eastAsia="Times New Roman" w:hAnsi="Helvetica" w:cs="Helvetica"/>
          <w:color w:val="111111"/>
          <w:sz w:val="21"/>
          <w:szCs w:val="21"/>
        </w:rPr>
      </w:pPr>
      <w:r w:rsidRPr="00D27AC9">
        <w:rPr>
          <w:rFonts w:ascii="Helvetica" w:eastAsia="Times New Roman" w:hAnsi="Helvetica" w:cs="Helvetica"/>
          <w:color w:val="111111"/>
          <w:sz w:val="21"/>
          <w:szCs w:val="21"/>
        </w:rPr>
        <w:t>Tổng cục Thuế phối hợp với cơ quan có liên quan xác định, công bố tên, địa chỉ website của nhà cung cấp ở nước ngoài chưa thực hiện đăng ký, kê khai, nộp thuế mà người mua hàng hóa, dịch vụ có thực hiện giao dịch. Trên cơ sở đó, Tổng cục Thuế thông báo tên, địa chỉ website của nhà cung cấp ở nước ngoài cho ngân hàng thương mại, tổ chức cung ứng dịch vụ trung gian thanh toán để các đơn vị này xác định tài khoản giao dịch của nhà cung cấp ở nước ngoài và thực hiện khấu trừ, nộp thay nghĩa vụ thuế đối với các giao dịch của người mua là cá nhân ở Việt Nam thanh toán cho tài khoản giao dịch của nhà cung cấp ở nước ngoài.</w:t>
      </w:r>
    </w:p>
    <w:p w:rsidR="00D27AC9" w:rsidRPr="00D27AC9" w:rsidRDefault="00D27AC9" w:rsidP="00D27AC9">
      <w:pPr>
        <w:jc w:val="both"/>
        <w:rPr>
          <w:rFonts w:ascii="Helvetica" w:eastAsia="Times New Roman" w:hAnsi="Helvetica" w:cs="Helvetica"/>
          <w:color w:val="111111"/>
          <w:sz w:val="21"/>
          <w:szCs w:val="21"/>
        </w:rPr>
      </w:pPr>
    </w:p>
    <w:p w:rsidR="00D27AC9" w:rsidRDefault="00D27AC9" w:rsidP="00D27AC9">
      <w:pPr>
        <w:jc w:val="both"/>
        <w:rPr>
          <w:rFonts w:ascii="Helvetica" w:eastAsia="Times New Roman" w:hAnsi="Helvetica" w:cs="Helvetica"/>
          <w:color w:val="111111"/>
          <w:sz w:val="21"/>
          <w:szCs w:val="21"/>
        </w:rPr>
      </w:pPr>
      <w:r w:rsidRPr="00D27AC9">
        <w:rPr>
          <w:rFonts w:ascii="Helvetica" w:eastAsia="Times New Roman" w:hAnsi="Helvetica" w:cs="Helvetica"/>
          <w:color w:val="111111"/>
          <w:sz w:val="21"/>
          <w:szCs w:val="21"/>
        </w:rPr>
        <w:t>Trường hợp cá nhân có mua hàng hóa, dịch vụ của nhà cung cấp nước ngoài có thanh toán bằng thẻ hoặc các hình thức khác mà ngân hàng thương mại, tổ chức cung ứng dịch vụ trung gian thanh toán không thể thực hiện khấu trừ, nộp thay thì ngân hàng thương mại, tổ chức cung ứng dịch vụ trung gian thanh toán có trách nhiệm theo dõi số tiền chuyển cho các nhà cung cấp ở nước ngoài và định kỳ hàng tháng gửi về Tổng cục Thuế theo mẫu do Bộ trưởng Bộ </w:t>
      </w:r>
      <w:hyperlink r:id="rId10" w:history="1">
        <w:r w:rsidRPr="00D27AC9">
          <w:rPr>
            <w:rFonts w:ascii="Helvetica" w:eastAsia="Times New Roman" w:hAnsi="Helvetica" w:cs="Helvetica"/>
            <w:color w:val="00739F"/>
            <w:sz w:val="21"/>
            <w:szCs w:val="21"/>
            <w:u w:val="single"/>
          </w:rPr>
          <w:t>Tài chính</w:t>
        </w:r>
      </w:hyperlink>
      <w:r w:rsidRPr="00D27AC9">
        <w:rPr>
          <w:rFonts w:ascii="Helvetica" w:eastAsia="Times New Roman" w:hAnsi="Helvetica" w:cs="Helvetica"/>
          <w:color w:val="111111"/>
          <w:sz w:val="21"/>
          <w:szCs w:val="21"/>
        </w:rPr>
        <w:t> ban hành.</w:t>
      </w:r>
    </w:p>
    <w:p w:rsidR="00D27AC9" w:rsidRPr="00D27AC9" w:rsidRDefault="00D27AC9" w:rsidP="00D27AC9">
      <w:pPr>
        <w:jc w:val="both"/>
        <w:rPr>
          <w:rFonts w:ascii="Helvetica" w:eastAsia="Times New Roman" w:hAnsi="Helvetica" w:cs="Helvetica"/>
          <w:color w:val="111111"/>
          <w:sz w:val="21"/>
          <w:szCs w:val="21"/>
        </w:rPr>
      </w:pPr>
    </w:p>
    <w:p w:rsidR="00D27AC9" w:rsidRPr="00D27AC9" w:rsidRDefault="00D27AC9" w:rsidP="00D27AC9">
      <w:pPr>
        <w:jc w:val="both"/>
        <w:rPr>
          <w:rFonts w:ascii="Helvetica" w:eastAsia="Times New Roman" w:hAnsi="Helvetica" w:cs="Helvetica"/>
          <w:color w:val="111111"/>
          <w:sz w:val="21"/>
          <w:szCs w:val="21"/>
        </w:rPr>
      </w:pPr>
      <w:r w:rsidRPr="00D27AC9">
        <w:rPr>
          <w:rFonts w:ascii="Helvetica" w:eastAsia="Times New Roman" w:hAnsi="Helvetica" w:cs="Helvetica"/>
          <w:color w:val="111111"/>
          <w:sz w:val="21"/>
          <w:szCs w:val="21"/>
        </w:rPr>
        <w:t>Hàng tháng, ngân hàng thương mại, tổ chức cung ứng dịch vụ trung gian thanh toán có trách nhiệm kê khai, nộp vào ngân sách nhà nước số tiền đã khấu trừ, nộp thay nghĩa vụ thuế phải nộp của nhà cung cấp ở nước ngoài theo mẫu do Bộ trưởng Bộ Tài chính ban hành.</w:t>
      </w:r>
    </w:p>
    <w:p w:rsidR="008D7E08" w:rsidRDefault="008D7E08" w:rsidP="00D27AC9">
      <w:pPr>
        <w:jc w:val="both"/>
      </w:pPr>
    </w:p>
    <w:sectPr w:rsidR="008D7E08" w:rsidSect="00D27AC9">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076F8"/>
    <w:multiLevelType w:val="multilevel"/>
    <w:tmpl w:val="ABF0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C9"/>
    <w:rsid w:val="008D7E08"/>
    <w:rsid w:val="00BF33F6"/>
    <w:rsid w:val="00D2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3CB63-145B-40DB-ACDD-4BBAA21F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7AC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7AC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27AC9"/>
    <w:pPr>
      <w:spacing w:before="100" w:beforeAutospacing="1" w:after="100" w:afterAutospacing="1"/>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A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7AC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27AC9"/>
    <w:rPr>
      <w:rFonts w:ascii="Times New Roman" w:eastAsia="Times New Roman" w:hAnsi="Times New Roman" w:cs="Times New Roman"/>
      <w:b/>
      <w:bCs/>
      <w:szCs w:val="24"/>
    </w:rPr>
  </w:style>
  <w:style w:type="character" w:styleId="Hyperlink">
    <w:name w:val="Hyperlink"/>
    <w:basedOn w:val="DefaultParagraphFont"/>
    <w:uiPriority w:val="99"/>
    <w:unhideWhenUsed/>
    <w:rsid w:val="00D27AC9"/>
    <w:rPr>
      <w:color w:val="0000FF"/>
      <w:u w:val="single"/>
    </w:rPr>
  </w:style>
  <w:style w:type="character" w:customStyle="1" w:styleId="source">
    <w:name w:val="source"/>
    <w:basedOn w:val="DefaultParagraphFont"/>
    <w:rsid w:val="00D27AC9"/>
  </w:style>
  <w:style w:type="paragraph" w:styleId="NormalWeb">
    <w:name w:val="Normal (Web)"/>
    <w:basedOn w:val="Normal"/>
    <w:uiPriority w:val="99"/>
    <w:semiHidden/>
    <w:unhideWhenUsed/>
    <w:rsid w:val="00D27AC9"/>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3185">
      <w:bodyDiv w:val="1"/>
      <w:marLeft w:val="0"/>
      <w:marRight w:val="0"/>
      <w:marTop w:val="0"/>
      <w:marBottom w:val="0"/>
      <w:divBdr>
        <w:top w:val="none" w:sz="0" w:space="0" w:color="auto"/>
        <w:left w:val="none" w:sz="0" w:space="0" w:color="auto"/>
        <w:bottom w:val="none" w:sz="0" w:space="0" w:color="auto"/>
        <w:right w:val="none" w:sz="0" w:space="0" w:color="auto"/>
      </w:divBdr>
      <w:divsChild>
        <w:div w:id="209851315">
          <w:marLeft w:val="0"/>
          <w:marRight w:val="0"/>
          <w:marTop w:val="0"/>
          <w:marBottom w:val="270"/>
          <w:divBdr>
            <w:top w:val="none" w:sz="0" w:space="0" w:color="auto"/>
            <w:left w:val="none" w:sz="0" w:space="0" w:color="auto"/>
            <w:bottom w:val="none" w:sz="0" w:space="0" w:color="auto"/>
            <w:right w:val="none" w:sz="0" w:space="0" w:color="auto"/>
          </w:divBdr>
          <w:divsChild>
            <w:div w:id="919606991">
              <w:marLeft w:val="0"/>
              <w:marRight w:val="300"/>
              <w:marTop w:val="0"/>
              <w:marBottom w:val="0"/>
              <w:divBdr>
                <w:top w:val="none" w:sz="0" w:space="0" w:color="auto"/>
                <w:left w:val="none" w:sz="0" w:space="0" w:color="auto"/>
                <w:bottom w:val="none" w:sz="0" w:space="0" w:color="auto"/>
                <w:right w:val="none" w:sz="0" w:space="0" w:color="auto"/>
              </w:divBdr>
              <w:divsChild>
                <w:div w:id="604532361">
                  <w:marLeft w:val="0"/>
                  <w:marRight w:val="0"/>
                  <w:marTop w:val="0"/>
                  <w:marBottom w:val="0"/>
                  <w:divBdr>
                    <w:top w:val="none" w:sz="0" w:space="0" w:color="auto"/>
                    <w:left w:val="none" w:sz="0" w:space="0" w:color="auto"/>
                    <w:bottom w:val="none" w:sz="0" w:space="0" w:color="auto"/>
                    <w:right w:val="none" w:sz="0" w:space="0" w:color="auto"/>
                  </w:divBdr>
                  <w:divsChild>
                    <w:div w:id="117749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14427">
          <w:marLeft w:val="0"/>
          <w:marRight w:val="0"/>
          <w:marTop w:val="0"/>
          <w:marBottom w:val="300"/>
          <w:divBdr>
            <w:top w:val="none" w:sz="0" w:space="0" w:color="auto"/>
            <w:left w:val="none" w:sz="0" w:space="0" w:color="auto"/>
            <w:bottom w:val="none" w:sz="0" w:space="0" w:color="auto"/>
            <w:right w:val="none" w:sz="0" w:space="0" w:color="auto"/>
          </w:divBdr>
          <w:divsChild>
            <w:div w:id="1237471113">
              <w:marLeft w:val="0"/>
              <w:marRight w:val="0"/>
              <w:marTop w:val="0"/>
              <w:marBottom w:val="0"/>
              <w:divBdr>
                <w:top w:val="none" w:sz="0" w:space="0" w:color="auto"/>
                <w:left w:val="none" w:sz="0" w:space="0" w:color="auto"/>
                <w:bottom w:val="none" w:sz="0" w:space="0" w:color="auto"/>
                <w:right w:val="none" w:sz="0" w:space="0" w:color="auto"/>
              </w:divBdr>
            </w:div>
          </w:divsChild>
        </w:div>
        <w:div w:id="864294487">
          <w:marLeft w:val="0"/>
          <w:marRight w:val="0"/>
          <w:marTop w:val="0"/>
          <w:marBottom w:val="450"/>
          <w:divBdr>
            <w:top w:val="none" w:sz="0" w:space="0" w:color="auto"/>
            <w:left w:val="none" w:sz="0" w:space="0" w:color="auto"/>
            <w:bottom w:val="none" w:sz="0" w:space="0" w:color="auto"/>
            <w:right w:val="single" w:sz="6" w:space="15" w:color="F7F7F7"/>
          </w:divBdr>
          <w:divsChild>
            <w:div w:id="1611669281">
              <w:marLeft w:val="0"/>
              <w:marRight w:val="0"/>
              <w:marTop w:val="0"/>
              <w:marBottom w:val="0"/>
              <w:divBdr>
                <w:top w:val="none" w:sz="0" w:space="0" w:color="auto"/>
                <w:left w:val="none" w:sz="0" w:space="0" w:color="auto"/>
                <w:bottom w:val="none" w:sz="0" w:space="0" w:color="auto"/>
                <w:right w:val="none" w:sz="0" w:space="0" w:color="auto"/>
              </w:divBdr>
              <w:divsChild>
                <w:div w:id="93866274">
                  <w:marLeft w:val="0"/>
                  <w:marRight w:val="0"/>
                  <w:marTop w:val="0"/>
                  <w:marBottom w:val="300"/>
                  <w:divBdr>
                    <w:top w:val="none" w:sz="0" w:space="0" w:color="auto"/>
                    <w:left w:val="none" w:sz="0" w:space="0" w:color="auto"/>
                    <w:bottom w:val="none" w:sz="0" w:space="0" w:color="auto"/>
                    <w:right w:val="none" w:sz="0" w:space="0" w:color="auto"/>
                  </w:divBdr>
                </w:div>
                <w:div w:id="1396199783">
                  <w:marLeft w:val="0"/>
                  <w:marRight w:val="0"/>
                  <w:marTop w:val="0"/>
                  <w:marBottom w:val="0"/>
                  <w:divBdr>
                    <w:top w:val="none" w:sz="0" w:space="0" w:color="auto"/>
                    <w:left w:val="none" w:sz="0" w:space="0" w:color="auto"/>
                    <w:bottom w:val="none" w:sz="0" w:space="0" w:color="auto"/>
                    <w:right w:val="none" w:sz="0" w:space="0" w:color="auto"/>
                  </w:divBdr>
                  <w:divsChild>
                    <w:div w:id="797459056">
                      <w:marLeft w:val="0"/>
                      <w:marRight w:val="0"/>
                      <w:marTop w:val="0"/>
                      <w:marBottom w:val="375"/>
                      <w:divBdr>
                        <w:top w:val="none" w:sz="0" w:space="0" w:color="auto"/>
                        <w:left w:val="none" w:sz="0" w:space="0" w:color="auto"/>
                        <w:bottom w:val="none" w:sz="0" w:space="0" w:color="auto"/>
                        <w:right w:val="none" w:sz="0" w:space="0" w:color="auto"/>
                      </w:divBdr>
                      <w:divsChild>
                        <w:div w:id="1568109027">
                          <w:marLeft w:val="0"/>
                          <w:marRight w:val="0"/>
                          <w:marTop w:val="0"/>
                          <w:marBottom w:val="0"/>
                          <w:divBdr>
                            <w:top w:val="none" w:sz="0" w:space="0" w:color="auto"/>
                            <w:left w:val="none" w:sz="0" w:space="0" w:color="auto"/>
                            <w:bottom w:val="none" w:sz="0" w:space="0" w:color="auto"/>
                            <w:right w:val="none" w:sz="0" w:space="0" w:color="auto"/>
                          </w:divBdr>
                          <w:divsChild>
                            <w:div w:id="1666587362">
                              <w:marLeft w:val="0"/>
                              <w:marRight w:val="0"/>
                              <w:marTop w:val="150"/>
                              <w:marBottom w:val="0"/>
                              <w:divBdr>
                                <w:top w:val="none" w:sz="0" w:space="0" w:color="auto"/>
                                <w:left w:val="none" w:sz="0" w:space="0" w:color="auto"/>
                                <w:bottom w:val="dotted" w:sz="6" w:space="8" w:color="C2C2C2"/>
                                <w:right w:val="none" w:sz="0" w:space="0" w:color="auto"/>
                              </w:divBdr>
                              <w:divsChild>
                                <w:div w:id="6739212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07876259">
                  <w:marLeft w:val="0"/>
                  <w:marRight w:val="0"/>
                  <w:marTop w:val="0"/>
                  <w:marBottom w:val="0"/>
                  <w:divBdr>
                    <w:top w:val="none" w:sz="0" w:space="0" w:color="auto"/>
                    <w:left w:val="none" w:sz="0" w:space="0" w:color="auto"/>
                    <w:bottom w:val="none" w:sz="0" w:space="0" w:color="auto"/>
                    <w:right w:val="none" w:sz="0" w:space="0" w:color="auto"/>
                  </w:divBdr>
                  <w:divsChild>
                    <w:div w:id="737092324">
                      <w:marLeft w:val="0"/>
                      <w:marRight w:val="0"/>
                      <w:marTop w:val="0"/>
                      <w:marBottom w:val="0"/>
                      <w:divBdr>
                        <w:top w:val="none" w:sz="0" w:space="0" w:color="auto"/>
                        <w:left w:val="none" w:sz="0" w:space="0" w:color="auto"/>
                        <w:bottom w:val="none" w:sz="0" w:space="0" w:color="auto"/>
                        <w:right w:val="none" w:sz="0" w:space="0" w:color="auto"/>
                      </w:divBdr>
                      <w:divsChild>
                        <w:div w:id="1852791422">
                          <w:marLeft w:val="0"/>
                          <w:marRight w:val="0"/>
                          <w:marTop w:val="0"/>
                          <w:marBottom w:val="0"/>
                          <w:divBdr>
                            <w:top w:val="none" w:sz="0" w:space="0" w:color="auto"/>
                            <w:left w:val="none" w:sz="0" w:space="0" w:color="auto"/>
                            <w:bottom w:val="none" w:sz="0" w:space="0" w:color="auto"/>
                            <w:right w:val="none" w:sz="0" w:space="0" w:color="auto"/>
                          </w:divBdr>
                          <w:divsChild>
                            <w:div w:id="308098275">
                              <w:marLeft w:val="0"/>
                              <w:marRight w:val="0"/>
                              <w:marTop w:val="0"/>
                              <w:marBottom w:val="300"/>
                              <w:divBdr>
                                <w:top w:val="none" w:sz="0" w:space="0" w:color="auto"/>
                                <w:left w:val="none" w:sz="0" w:space="0" w:color="auto"/>
                                <w:bottom w:val="none" w:sz="0" w:space="0" w:color="auto"/>
                                <w:right w:val="none" w:sz="0" w:space="0" w:color="auto"/>
                              </w:divBdr>
                              <w:divsChild>
                                <w:div w:id="119613772">
                                  <w:marLeft w:val="0"/>
                                  <w:marRight w:val="0"/>
                                  <w:marTop w:val="0"/>
                                  <w:marBottom w:val="300"/>
                                  <w:divBdr>
                                    <w:top w:val="none" w:sz="0" w:space="0" w:color="auto"/>
                                    <w:left w:val="none" w:sz="0" w:space="0" w:color="auto"/>
                                    <w:bottom w:val="none" w:sz="0" w:space="0" w:color="auto"/>
                                    <w:right w:val="none" w:sz="0" w:space="0" w:color="auto"/>
                                  </w:divBdr>
                                </w:div>
                                <w:div w:id="1476486927">
                                  <w:marLeft w:val="0"/>
                                  <w:marRight w:val="0"/>
                                  <w:marTop w:val="0"/>
                                  <w:marBottom w:val="300"/>
                                  <w:divBdr>
                                    <w:top w:val="none" w:sz="0" w:space="0" w:color="auto"/>
                                    <w:left w:val="none" w:sz="0" w:space="0" w:color="auto"/>
                                    <w:bottom w:val="none" w:sz="0" w:space="0" w:color="auto"/>
                                    <w:right w:val="none" w:sz="0" w:space="0" w:color="auto"/>
                                  </w:divBdr>
                                </w:div>
                                <w:div w:id="1200901605">
                                  <w:marLeft w:val="0"/>
                                  <w:marRight w:val="0"/>
                                  <w:marTop w:val="0"/>
                                  <w:marBottom w:val="300"/>
                                  <w:divBdr>
                                    <w:top w:val="none" w:sz="0" w:space="0" w:color="auto"/>
                                    <w:left w:val="none" w:sz="0" w:space="0" w:color="auto"/>
                                    <w:bottom w:val="none" w:sz="0" w:space="0" w:color="auto"/>
                                    <w:right w:val="none" w:sz="0" w:space="0" w:color="auto"/>
                                  </w:divBdr>
                                </w:div>
                                <w:div w:id="1470320251">
                                  <w:marLeft w:val="0"/>
                                  <w:marRight w:val="0"/>
                                  <w:marTop w:val="0"/>
                                  <w:marBottom w:val="300"/>
                                  <w:divBdr>
                                    <w:top w:val="none" w:sz="0" w:space="0" w:color="auto"/>
                                    <w:left w:val="none" w:sz="0" w:space="0" w:color="auto"/>
                                    <w:bottom w:val="none" w:sz="0" w:space="0" w:color="auto"/>
                                    <w:right w:val="none" w:sz="0" w:space="0" w:color="auto"/>
                                  </w:divBdr>
                                </w:div>
                                <w:div w:id="15644819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nhnien.vn/cong-nghe/kinh-nghiem/" TargetMode="External"/><Relationship Id="rId3" Type="http://schemas.openxmlformats.org/officeDocument/2006/relationships/settings" Target="settings.xml"/><Relationship Id="rId7" Type="http://schemas.openxmlformats.org/officeDocument/2006/relationships/hyperlink" Target="https://thanhnien.vn/tai-chinh-kinh-doanh/quy-dinh-thue-moi-chua-thuc-day-san-xuat-kinh-doanh-cuoi-nam-130696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anhnien.vn/tai-chinh-kinh-doanh/ngan-hang-cung-cap-thong-tin-tai-khoan-khach-hang-dinh-ky-cho-co-quan-thue-1307116.html" TargetMode="External"/><Relationship Id="rId11" Type="http://schemas.openxmlformats.org/officeDocument/2006/relationships/fontTable" Target="fontTable.xml"/><Relationship Id="rId5" Type="http://schemas.openxmlformats.org/officeDocument/2006/relationships/hyperlink" Target="https://thanhnien.vn/tai-chinh-kinh-doanh/ngan-hang-cung-cap-thong-tin-tai-khoan-khach-hang-dinh-ky-cho-co-quan-thue-1307116.html" TargetMode="External"/><Relationship Id="rId10" Type="http://schemas.openxmlformats.org/officeDocument/2006/relationships/hyperlink" Target="https://thanhnien.vn/tai-chinh-kinh-doanh/" TargetMode="External"/><Relationship Id="rId4" Type="http://schemas.openxmlformats.org/officeDocument/2006/relationships/webSettings" Target="webSettings.xml"/><Relationship Id="rId9" Type="http://schemas.openxmlformats.org/officeDocument/2006/relationships/hyperlink" Target="https://thanhnien.vn/tai-chinh-kinh-doa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2020-11-22T10:46:00Z</dcterms:created>
  <dcterms:modified xsi:type="dcterms:W3CDTF">2020-11-22T11:03:00Z</dcterms:modified>
</cp:coreProperties>
</file>